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231" w:rsidRPr="00DC7E6B" w:rsidRDefault="00BB5231" w:rsidP="00BB5231">
      <w:pPr>
        <w:spacing w:after="0" w:line="240" w:lineRule="auto"/>
        <w:jc w:val="center"/>
        <w:rPr>
          <w:rFonts w:eastAsia="Times New Roman" w:cs="Arial"/>
          <w:b/>
          <w:sz w:val="18"/>
          <w:szCs w:val="18"/>
          <w:lang w:eastAsia="pt-BR"/>
        </w:rPr>
      </w:pPr>
      <w:bookmarkStart w:id="0" w:name="_Toc466274117"/>
      <w:r w:rsidRPr="00DC7E6B">
        <w:rPr>
          <w:rFonts w:eastAsia="Times New Roman" w:cs="Arial"/>
          <w:b/>
          <w:sz w:val="18"/>
          <w:szCs w:val="18"/>
          <w:lang w:eastAsia="pt-BR"/>
        </w:rPr>
        <w:t xml:space="preserve">Município de </w:t>
      </w:r>
      <w:r>
        <w:rPr>
          <w:rFonts w:eastAsia="Times New Roman" w:cs="Arial"/>
          <w:b/>
          <w:sz w:val="18"/>
          <w:szCs w:val="18"/>
          <w:lang w:eastAsia="pt-BR"/>
        </w:rPr>
        <w:t>Salvador das Missões</w:t>
      </w:r>
    </w:p>
    <w:p w:rsidR="00BB5231" w:rsidRPr="00A41D27" w:rsidRDefault="00BB5231" w:rsidP="00BB5231">
      <w:pPr>
        <w:spacing w:after="60" w:line="240" w:lineRule="auto"/>
        <w:ind w:firstLine="567"/>
        <w:jc w:val="center"/>
        <w:outlineLvl w:val="1"/>
        <w:rPr>
          <w:rFonts w:eastAsia="Times New Roman"/>
          <w:b/>
          <w:sz w:val="24"/>
          <w:szCs w:val="24"/>
          <w:lang w:eastAsia="pt-BR"/>
        </w:rPr>
      </w:pPr>
      <w:bookmarkStart w:id="1" w:name="_GoBack"/>
      <w:r w:rsidRPr="00A41D27">
        <w:rPr>
          <w:rFonts w:eastAsia="Times New Roman"/>
          <w:b/>
          <w:sz w:val="24"/>
          <w:szCs w:val="24"/>
          <w:lang w:eastAsia="pt-BR"/>
        </w:rPr>
        <w:t>Notas Explicativas do Balanço Financeiro</w:t>
      </w:r>
      <w:bookmarkEnd w:id="0"/>
      <w:r w:rsidRPr="00A41D27">
        <w:rPr>
          <w:rFonts w:eastAsia="Times New Roman"/>
          <w:b/>
          <w:sz w:val="24"/>
          <w:szCs w:val="24"/>
          <w:lang w:eastAsia="pt-BR"/>
        </w:rPr>
        <w:t xml:space="preserve"> do RPPS de 2020</w:t>
      </w:r>
    </w:p>
    <w:p w:rsidR="00BB5231" w:rsidRPr="00A41D27" w:rsidRDefault="00BB5231" w:rsidP="00BB5231">
      <w:pPr>
        <w:spacing w:after="60" w:line="240" w:lineRule="auto"/>
        <w:ind w:firstLine="567"/>
        <w:jc w:val="center"/>
        <w:outlineLvl w:val="1"/>
        <w:rPr>
          <w:rFonts w:eastAsia="Times New Roman"/>
          <w:b/>
          <w:sz w:val="24"/>
          <w:szCs w:val="24"/>
          <w:lang w:eastAsia="pt-BR"/>
        </w:rPr>
      </w:pPr>
    </w:p>
    <w:bookmarkEnd w:id="1"/>
    <w:p w:rsidR="00BB5231" w:rsidRPr="004B17D7" w:rsidRDefault="00BB5231" w:rsidP="00BB523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t-BR"/>
        </w:rPr>
      </w:pPr>
      <w:r w:rsidRPr="004B17D7">
        <w:rPr>
          <w:rFonts w:eastAsia="Times New Roman" w:cs="Arial"/>
          <w:b/>
          <w:lang w:eastAsia="pt-BR"/>
        </w:rPr>
        <w:t xml:space="preserve">Nota 1 - Receitas Orçamentárias: </w:t>
      </w:r>
      <w:r w:rsidRPr="004B17D7">
        <w:rPr>
          <w:rFonts w:eastAsia="Times New Roman" w:cs="Arial"/>
          <w:lang w:eastAsia="pt-BR"/>
        </w:rPr>
        <w:t xml:space="preserve">são apresentadas considerando as operações </w:t>
      </w:r>
      <w:proofErr w:type="spellStart"/>
      <w:r w:rsidRPr="004B17D7">
        <w:rPr>
          <w:rFonts w:eastAsia="Times New Roman" w:cs="Arial"/>
          <w:lang w:eastAsia="pt-BR"/>
        </w:rPr>
        <w:t>intraorçamentárias</w:t>
      </w:r>
      <w:proofErr w:type="spellEnd"/>
      <w:r w:rsidRPr="004B17D7">
        <w:rPr>
          <w:rFonts w:eastAsia="Times New Roman" w:cs="Arial"/>
          <w:lang w:eastAsia="pt-BR"/>
        </w:rPr>
        <w:t xml:space="preserve"> e líquidas das deduções ocorridas. </w:t>
      </w:r>
    </w:p>
    <w:p w:rsidR="00BB5231" w:rsidRPr="00C36C47" w:rsidRDefault="00BB5231" w:rsidP="00BB5231">
      <w:pPr>
        <w:spacing w:after="0" w:line="240" w:lineRule="auto"/>
        <w:jc w:val="both"/>
        <w:rPr>
          <w:rFonts w:eastAsia="Times New Roman" w:cs="Arial"/>
          <w:color w:val="FF0000"/>
          <w:lang w:eastAsia="pt-BR"/>
        </w:rPr>
      </w:pPr>
    </w:p>
    <w:p w:rsidR="00BB5231" w:rsidRPr="000939AE" w:rsidRDefault="00BB5231" w:rsidP="00BB5231">
      <w:pPr>
        <w:spacing w:after="120" w:line="240" w:lineRule="auto"/>
        <w:jc w:val="both"/>
      </w:pPr>
      <w:r w:rsidRPr="000939AE">
        <w:rPr>
          <w:rFonts w:eastAsia="Times New Roman" w:cs="Arial"/>
          <w:b/>
          <w:lang w:eastAsia="pt-BR"/>
        </w:rPr>
        <w:t xml:space="preserve">Nota 2 -Recursos Destinados à Previdência Social – RPPS: </w:t>
      </w:r>
      <w:r w:rsidRPr="000939AE">
        <w:rPr>
          <w:rFonts w:eastAsia="Times New Roman" w:cs="Arial"/>
          <w:lang w:eastAsia="pt-BR"/>
        </w:rPr>
        <w:t xml:space="preserve">os valores se referem as receitas arrecadadas e às despesas empenhadas por conta dos recursos </w:t>
      </w:r>
      <w:proofErr w:type="gramStart"/>
      <w:r w:rsidRPr="000939AE">
        <w:rPr>
          <w:rFonts w:eastAsia="Times New Roman" w:cs="Arial"/>
          <w:lang w:eastAsia="pt-BR"/>
        </w:rPr>
        <w:t>que,  nos</w:t>
      </w:r>
      <w:proofErr w:type="gramEnd"/>
      <w:r w:rsidRPr="000939AE">
        <w:rPr>
          <w:rFonts w:eastAsia="Times New Roman" w:cs="Arial"/>
          <w:lang w:eastAsia="pt-BR"/>
        </w:rPr>
        <w:t xml:space="preserve"> termos da Lei Municipal nº 492/2005 são vinculados ao  Regime Próprio de Previdência Social dos Servidores. As receitas das contribuições dos segurados foram arrecadadas conforme a alíquota definida de avaliação atuarial, de 14%. Já as contribuições patronais foram apropriadas como receitas </w:t>
      </w:r>
      <w:proofErr w:type="spellStart"/>
      <w:r w:rsidRPr="000939AE">
        <w:rPr>
          <w:rFonts w:eastAsia="Times New Roman" w:cs="Arial"/>
          <w:lang w:eastAsia="pt-BR"/>
        </w:rPr>
        <w:t>intraorçamentárias</w:t>
      </w:r>
      <w:proofErr w:type="spellEnd"/>
      <w:r w:rsidRPr="000939AE">
        <w:rPr>
          <w:rFonts w:eastAsia="Times New Roman" w:cs="Arial"/>
          <w:lang w:eastAsia="pt-BR"/>
        </w:rPr>
        <w:t>, conforme as alíquotas vigentes para o exercício, de 14% e de 18,75%, respectivamente, para a contribuição normal e especial para a recuperação do passivo atuarial. Especificamente quanto a compensação previdenciária</w:t>
      </w:r>
      <w:r w:rsidRPr="000939AE">
        <w:t xml:space="preserve"> entre o RPPS para RGPS, cumpre destacar que, nos termos do art. 35 da Portaria MF nº 464/2018,  e tendo em vista a superveniência de convênio celebrado para a sua operacionalização, tais valores foram considerados na avaliação atuarial realizada, com data focal em 31 de dezembro de 2019, onde foram </w:t>
      </w:r>
      <w:r w:rsidRPr="000939AE">
        <w:rPr>
          <w:bCs/>
        </w:rPr>
        <w:t xml:space="preserve">projetados os valores a receber e a pagar </w:t>
      </w:r>
      <w:r w:rsidRPr="000939AE">
        <w:t>relativos aos benefícios concedidos e a conceder, observados os parâmetros definidos pela Secretaria de Previdência,  e especificados no Relatório da Avaliação Atuarial.</w:t>
      </w:r>
    </w:p>
    <w:p w:rsidR="00BB5231" w:rsidRPr="00116E4A" w:rsidRDefault="00BB5231" w:rsidP="00BB5231">
      <w:pPr>
        <w:pStyle w:val="Citao1"/>
        <w:spacing w:after="120"/>
        <w:ind w:left="0"/>
        <w:rPr>
          <w:szCs w:val="22"/>
          <w:lang w:eastAsia="pt-BR"/>
        </w:rPr>
      </w:pPr>
      <w:r w:rsidRPr="00116E4A">
        <w:rPr>
          <w:rFonts w:cs="Arial"/>
          <w:b/>
          <w:lang w:eastAsia="pt-BR"/>
        </w:rPr>
        <w:t xml:space="preserve">Nota 3 – Transferências Financeiras Recebidas: </w:t>
      </w:r>
      <w:r w:rsidRPr="00116E4A">
        <w:rPr>
          <w:rFonts w:cs="Arial"/>
          <w:lang w:eastAsia="pt-BR"/>
        </w:rPr>
        <w:t>não ouve</w:t>
      </w:r>
      <w:r w:rsidRPr="00116E4A">
        <w:rPr>
          <w:rFonts w:cs="Arial"/>
          <w:b/>
          <w:lang w:eastAsia="pt-BR"/>
        </w:rPr>
        <w:t xml:space="preserve"> </w:t>
      </w:r>
      <w:r w:rsidRPr="00116E4A">
        <w:rPr>
          <w:rFonts w:ascii="Cambria" w:hAnsi="Cambria" w:cs="Cambria"/>
          <w:lang w:eastAsia="pt-BR"/>
        </w:rPr>
        <w:t xml:space="preserve">movimentações de recursos financeiros recebidos pelo RPPS para a </w:t>
      </w:r>
      <w:r w:rsidRPr="00116E4A">
        <w:rPr>
          <w:szCs w:val="22"/>
          <w:lang w:eastAsia="pt-BR"/>
        </w:rPr>
        <w:t>cobertura de insuficiência.</w:t>
      </w:r>
    </w:p>
    <w:p w:rsidR="00BB5231" w:rsidRPr="00893BD2" w:rsidRDefault="00BB5231" w:rsidP="00BB5231">
      <w:pPr>
        <w:spacing w:after="0" w:line="240" w:lineRule="auto"/>
        <w:jc w:val="both"/>
        <w:rPr>
          <w:rFonts w:eastAsia="Times New Roman" w:cs="Arial"/>
          <w:lang w:eastAsia="pt-BR"/>
        </w:rPr>
      </w:pPr>
      <w:r w:rsidRPr="00893BD2">
        <w:rPr>
          <w:rFonts w:eastAsia="Times New Roman" w:cs="Arial"/>
          <w:b/>
          <w:lang w:eastAsia="pt-BR"/>
        </w:rPr>
        <w:t xml:space="preserve">Nota 4 – Recebimentos e pagamentos </w:t>
      </w:r>
      <w:proofErr w:type="spellStart"/>
      <w:r w:rsidRPr="00893BD2">
        <w:rPr>
          <w:rFonts w:eastAsia="Times New Roman" w:cs="Arial"/>
          <w:b/>
          <w:lang w:eastAsia="pt-BR"/>
        </w:rPr>
        <w:t>extraorçamentários</w:t>
      </w:r>
      <w:proofErr w:type="spellEnd"/>
      <w:r w:rsidRPr="00893BD2">
        <w:rPr>
          <w:rFonts w:eastAsia="Times New Roman" w:cs="Arial"/>
          <w:b/>
          <w:lang w:eastAsia="pt-BR"/>
        </w:rPr>
        <w:t xml:space="preserve">: </w:t>
      </w:r>
      <w:r w:rsidRPr="00893BD2">
        <w:rPr>
          <w:rFonts w:eastAsia="Times New Roman" w:cs="Arial"/>
          <w:lang w:eastAsia="pt-BR"/>
        </w:rPr>
        <w:t xml:space="preserve">os itens desses grupos correspondem aos ingressos e dispêndios que, na forma do parágrafo único do art. 3º a art. 103 da Lei Federal nº 4.320/64 se referem a operações que não transitam pelo orçamento. No caso específico das retenções e consignações, destaca-se que o critério adotado para o registro dos ingressos foi o momento do pagamento do empenho sendo que o registro da baixa dessas obrigações somente ocorreu quando do efetivo pagamento/recolhimento ao favorecido. Também foram considerados respectivamente como recebimentos e pagamentos </w:t>
      </w:r>
      <w:proofErr w:type="spellStart"/>
      <w:r w:rsidRPr="00893BD2">
        <w:rPr>
          <w:rFonts w:eastAsia="Times New Roman" w:cs="Arial"/>
          <w:lang w:eastAsia="pt-BR"/>
        </w:rPr>
        <w:t>extraorçamentários</w:t>
      </w:r>
      <w:proofErr w:type="spellEnd"/>
      <w:r w:rsidRPr="00893BD2">
        <w:rPr>
          <w:rFonts w:eastAsia="Times New Roman" w:cs="Arial"/>
          <w:lang w:eastAsia="pt-BR"/>
        </w:rPr>
        <w:t xml:space="preserve"> as inscrições e os pagamentos de restos a pagar. </w:t>
      </w:r>
    </w:p>
    <w:p w:rsidR="00BB5231" w:rsidRPr="00C36C47" w:rsidRDefault="00BB5231" w:rsidP="00BB5231">
      <w:pPr>
        <w:spacing w:after="0" w:line="240" w:lineRule="auto"/>
        <w:jc w:val="both"/>
        <w:rPr>
          <w:rFonts w:eastAsia="Times New Roman" w:cs="Arial"/>
          <w:color w:val="FF0000"/>
          <w:lang w:eastAsia="pt-BR"/>
        </w:rPr>
      </w:pPr>
    </w:p>
    <w:p w:rsidR="00BB5231" w:rsidRPr="00993F78" w:rsidRDefault="00BB5231" w:rsidP="00BB5231">
      <w:pPr>
        <w:spacing w:after="0" w:line="240" w:lineRule="auto"/>
        <w:jc w:val="both"/>
        <w:rPr>
          <w:rFonts w:eastAsia="Times New Roman" w:cs="Arial"/>
          <w:lang w:eastAsia="pt-BR"/>
        </w:rPr>
      </w:pPr>
      <w:r w:rsidRPr="00993F78">
        <w:rPr>
          <w:rFonts w:eastAsia="Times New Roman" w:cs="Arial"/>
          <w:b/>
          <w:lang w:eastAsia="pt-BR"/>
        </w:rPr>
        <w:t xml:space="preserve">Nota 5 – Outros recebimentos e pagamentos </w:t>
      </w:r>
      <w:proofErr w:type="spellStart"/>
      <w:r w:rsidRPr="00993F78">
        <w:rPr>
          <w:rFonts w:eastAsia="Times New Roman" w:cs="Arial"/>
          <w:b/>
          <w:lang w:eastAsia="pt-BR"/>
        </w:rPr>
        <w:t>extraorçamentários</w:t>
      </w:r>
      <w:proofErr w:type="spellEnd"/>
      <w:r w:rsidRPr="00993F78">
        <w:rPr>
          <w:rFonts w:eastAsia="Times New Roman" w:cs="Arial"/>
          <w:b/>
          <w:lang w:eastAsia="pt-BR"/>
        </w:rPr>
        <w:t>:</w:t>
      </w:r>
      <w:r w:rsidRPr="00993F78">
        <w:rPr>
          <w:rFonts w:eastAsia="Times New Roman" w:cs="Arial"/>
          <w:lang w:eastAsia="pt-BR"/>
        </w:rPr>
        <w:t xml:space="preserve"> os valores informados se referem a contrapartidas de registros de entradas e saídas de recursos financeiros em situações excepcionais como, rendimentos negativos de aplicações financeiras do RPPS - valor excedente ao registrado em contas </w:t>
      </w:r>
      <w:proofErr w:type="spellStart"/>
      <w:r w:rsidRPr="00993F78">
        <w:rPr>
          <w:rFonts w:eastAsia="Times New Roman" w:cs="Arial"/>
          <w:lang w:eastAsia="pt-BR"/>
        </w:rPr>
        <w:t>dedutoras</w:t>
      </w:r>
      <w:proofErr w:type="spellEnd"/>
      <w:r w:rsidRPr="00993F78">
        <w:rPr>
          <w:rFonts w:eastAsia="Times New Roman" w:cs="Arial"/>
          <w:lang w:eastAsia="pt-BR"/>
        </w:rPr>
        <w:t xml:space="preserve"> de receitas e a</w:t>
      </w:r>
      <w:r w:rsidRPr="00993F78">
        <w:rPr>
          <w:rFonts w:eastAsia="Times New Roman" w:cs="Arial"/>
          <w:bCs/>
          <w:lang w:eastAsia="pt-BR"/>
        </w:rPr>
        <w:t>justes contábeis de exercícios anteriores</w:t>
      </w:r>
    </w:p>
    <w:p w:rsidR="00BB5231" w:rsidRPr="00C36C47" w:rsidRDefault="00BB5231" w:rsidP="00BB5231">
      <w:pPr>
        <w:spacing w:after="0" w:line="240" w:lineRule="auto"/>
        <w:rPr>
          <w:rFonts w:eastAsia="Times New Roman" w:cs="Arial"/>
          <w:color w:val="FF0000"/>
          <w:lang w:eastAsia="pt-BR"/>
        </w:rPr>
      </w:pPr>
    </w:p>
    <w:p w:rsidR="00BB5231" w:rsidRPr="00993F78" w:rsidRDefault="00BB5231" w:rsidP="00BB523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4"/>
        </w:rPr>
      </w:pPr>
      <w:r w:rsidRPr="00993F78">
        <w:rPr>
          <w:rFonts w:eastAsia="Times New Roman" w:cs="Arial"/>
          <w:b/>
          <w:lang w:eastAsia="pt-BR"/>
        </w:rPr>
        <w:t xml:space="preserve">Nota 6 –Despesas Orçamentárias: </w:t>
      </w:r>
      <w:r w:rsidRPr="00993F78">
        <w:rPr>
          <w:rFonts w:eastAsia="Times New Roman" w:cs="Arial"/>
          <w:lang w:eastAsia="pt-BR"/>
        </w:rPr>
        <w:t xml:space="preserve">são apresentados os valores empenhados, considerando as operações </w:t>
      </w:r>
      <w:proofErr w:type="spellStart"/>
      <w:r w:rsidRPr="00993F78">
        <w:rPr>
          <w:rFonts w:eastAsia="Times New Roman" w:cs="Arial"/>
          <w:lang w:eastAsia="pt-BR"/>
        </w:rPr>
        <w:t>intraorçamentárias</w:t>
      </w:r>
      <w:proofErr w:type="spellEnd"/>
      <w:r w:rsidRPr="00993F78">
        <w:rPr>
          <w:rFonts w:eastAsia="Times New Roman" w:cs="Arial"/>
          <w:lang w:eastAsia="pt-BR"/>
        </w:rPr>
        <w:t xml:space="preserve"> do RPPS, já detalhadas em nota explicativa do Balanço Orçamentário.  </w:t>
      </w:r>
    </w:p>
    <w:p w:rsidR="00CC55FF" w:rsidRDefault="00CC55FF"/>
    <w:sectPr w:rsidR="00CC55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231"/>
    <w:rsid w:val="00BB5231"/>
    <w:rsid w:val="00CC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B3772D-780B-4246-B62B-B76F47E31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231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itao1">
    <w:name w:val="Citação1"/>
    <w:basedOn w:val="Normal"/>
    <w:next w:val="Normal"/>
    <w:link w:val="QuoteChar"/>
    <w:rsid w:val="00BB5231"/>
    <w:pPr>
      <w:spacing w:line="240" w:lineRule="auto"/>
      <w:ind w:left="1701"/>
      <w:jc w:val="both"/>
    </w:pPr>
    <w:rPr>
      <w:rFonts w:eastAsia="Times New Roman"/>
      <w:szCs w:val="24"/>
    </w:rPr>
  </w:style>
  <w:style w:type="character" w:customStyle="1" w:styleId="QuoteChar">
    <w:name w:val="Quote Char"/>
    <w:link w:val="Citao1"/>
    <w:rsid w:val="00BB5231"/>
    <w:rPr>
      <w:rFonts w:ascii="Calibri" w:eastAsia="Times New Roman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CONTABILIDADE</dc:creator>
  <cp:keywords/>
  <dc:description/>
  <cp:lastModifiedBy>CONTABILIDADE</cp:lastModifiedBy>
  <cp:revision>1</cp:revision>
  <dcterms:created xsi:type="dcterms:W3CDTF">2021-01-20T15:05:00Z</dcterms:created>
  <dcterms:modified xsi:type="dcterms:W3CDTF">2021-01-20T15:06:00Z</dcterms:modified>
</cp:coreProperties>
</file>